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DB1DD" w14:textId="77777777" w:rsidR="000E2485" w:rsidRPr="00B83B47" w:rsidRDefault="000E2485" w:rsidP="000E2485">
      <w:pPr>
        <w:spacing w:after="150"/>
        <w:ind w:firstLine="450"/>
        <w:jc w:val="both"/>
        <w:rPr>
          <w:b/>
          <w:bCs/>
          <w:color w:val="000000"/>
          <w:u w:val="single"/>
        </w:rPr>
      </w:pPr>
      <w:r w:rsidRPr="00B83B47">
        <w:rPr>
          <w:b/>
          <w:bCs/>
          <w:color w:val="000000"/>
          <w:u w:val="single"/>
        </w:rPr>
        <w:t>Проекти рішень з питань, включених до порядку денного загальних зборів:</w:t>
      </w:r>
    </w:p>
    <w:p w14:paraId="4C0BF999" w14:textId="77777777" w:rsidR="00B83B47" w:rsidRPr="00B83B47" w:rsidRDefault="00B83B47" w:rsidP="00B83B47">
      <w:pPr>
        <w:tabs>
          <w:tab w:val="left" w:pos="0"/>
          <w:tab w:val="left" w:pos="567"/>
        </w:tabs>
        <w:rPr>
          <w:sz w:val="22"/>
          <w:szCs w:val="22"/>
        </w:rPr>
      </w:pPr>
      <w:r w:rsidRPr="00B83B47">
        <w:rPr>
          <w:sz w:val="22"/>
          <w:szCs w:val="22"/>
        </w:rPr>
        <w:t>1. Обрання голови  та членів лічильної комісії, прийняття рішень про припинення їх повноважень.</w:t>
      </w:r>
    </w:p>
    <w:p w14:paraId="0273426B" w14:textId="77777777" w:rsidR="00B83B47" w:rsidRPr="00B83B47" w:rsidRDefault="00B83B47" w:rsidP="00B83B47">
      <w:pPr>
        <w:pStyle w:val="a5"/>
        <w:tabs>
          <w:tab w:val="left" w:pos="284"/>
        </w:tabs>
        <w:spacing w:after="0" w:line="240" w:lineRule="auto"/>
        <w:ind w:left="34"/>
        <w:jc w:val="both"/>
        <w:rPr>
          <w:rFonts w:ascii="Times New Roman" w:hAnsi="Times New Roman"/>
          <w:b/>
          <w:bCs/>
          <w:iCs/>
          <w:lang w:val="uk-UA"/>
        </w:rPr>
      </w:pPr>
      <w:r w:rsidRPr="00B83B47">
        <w:rPr>
          <w:rFonts w:ascii="Times New Roman" w:hAnsi="Times New Roman"/>
          <w:b/>
          <w:bCs/>
          <w:iCs/>
          <w:lang w:val="uk-UA"/>
        </w:rPr>
        <w:t>Проект рішення:</w:t>
      </w:r>
    </w:p>
    <w:p w14:paraId="1AC7C290" w14:textId="77777777" w:rsidR="00B83B47" w:rsidRPr="00B83B47" w:rsidRDefault="00B83B47" w:rsidP="00B83B47">
      <w:pPr>
        <w:ind w:firstLine="720"/>
        <w:rPr>
          <w:iCs/>
          <w:color w:val="000000"/>
          <w:sz w:val="22"/>
          <w:szCs w:val="22"/>
        </w:rPr>
      </w:pPr>
      <w:r w:rsidRPr="00B83B47">
        <w:rPr>
          <w:iCs/>
          <w:color w:val="000000"/>
          <w:sz w:val="22"/>
          <w:szCs w:val="22"/>
        </w:rPr>
        <w:t>Обрати лічильну комісію у кількості двох осіб:</w:t>
      </w:r>
    </w:p>
    <w:p w14:paraId="7C7FD0EC" w14:textId="77777777" w:rsidR="00B83B47" w:rsidRPr="00B83B47" w:rsidRDefault="00B83B47" w:rsidP="00B83B47">
      <w:pPr>
        <w:pStyle w:val="a7"/>
        <w:rPr>
          <w:rFonts w:ascii="Times New Roman" w:hAnsi="Times New Roman" w:cs="Times New Roman"/>
          <w:iCs/>
          <w:color w:val="000000"/>
          <w:sz w:val="22"/>
          <w:szCs w:val="22"/>
          <w:lang w:val="uk-UA"/>
        </w:rPr>
      </w:pPr>
      <w:r w:rsidRPr="00B83B47">
        <w:rPr>
          <w:rFonts w:ascii="Times New Roman" w:hAnsi="Times New Roman" w:cs="Times New Roman"/>
          <w:iCs/>
          <w:color w:val="000000"/>
          <w:sz w:val="22"/>
          <w:szCs w:val="22"/>
          <w:lang w:val="uk-UA"/>
        </w:rPr>
        <w:t>Голова лічильної комісії – Бєліков Руслан Васильович ;</w:t>
      </w:r>
    </w:p>
    <w:p w14:paraId="4E7EF0EF" w14:textId="77777777" w:rsidR="00B83B47" w:rsidRPr="00B83B47" w:rsidRDefault="00B83B47" w:rsidP="00B83B47">
      <w:pPr>
        <w:rPr>
          <w:iCs/>
          <w:color w:val="000000"/>
          <w:sz w:val="22"/>
          <w:szCs w:val="22"/>
        </w:rPr>
      </w:pPr>
      <w:r w:rsidRPr="00B83B47">
        <w:rPr>
          <w:iCs/>
          <w:color w:val="000000"/>
          <w:sz w:val="22"/>
          <w:szCs w:val="22"/>
        </w:rPr>
        <w:t>Член лічильної комісії – Князська Мирослава Миколаївна;</w:t>
      </w:r>
    </w:p>
    <w:p w14:paraId="76EDDCC2" w14:textId="77777777" w:rsidR="00B83B47" w:rsidRPr="00B83B47" w:rsidRDefault="00B83B47" w:rsidP="00B83B47">
      <w:pPr>
        <w:tabs>
          <w:tab w:val="left" w:pos="0"/>
        </w:tabs>
        <w:ind w:firstLine="12"/>
        <w:rPr>
          <w:iCs/>
          <w:sz w:val="22"/>
          <w:szCs w:val="22"/>
          <w:lang w:eastAsia="uk-UA"/>
        </w:rPr>
      </w:pPr>
      <w:r w:rsidRPr="00B83B47">
        <w:rPr>
          <w:iCs/>
          <w:sz w:val="22"/>
          <w:szCs w:val="22"/>
          <w:lang w:eastAsia="uk-UA"/>
        </w:rPr>
        <w:t>Припинити повноваження лічильної комісії по закінченню позачергових загальних зборів.</w:t>
      </w:r>
    </w:p>
    <w:p w14:paraId="1E3AF9D0" w14:textId="77777777" w:rsidR="00B83B47" w:rsidRPr="00B83B47" w:rsidRDefault="00B83B47" w:rsidP="00B83B47">
      <w:pPr>
        <w:tabs>
          <w:tab w:val="left" w:pos="284"/>
        </w:tabs>
        <w:suppressAutoHyphens/>
        <w:rPr>
          <w:sz w:val="22"/>
          <w:szCs w:val="22"/>
        </w:rPr>
      </w:pPr>
      <w:r w:rsidRPr="00B83B47">
        <w:rPr>
          <w:sz w:val="22"/>
          <w:szCs w:val="22"/>
        </w:rPr>
        <w:t>2. Обрання голови та секретаря загальних зборів.</w:t>
      </w:r>
    </w:p>
    <w:p w14:paraId="578E5370" w14:textId="77777777" w:rsidR="00B83B47" w:rsidRPr="00B83B47" w:rsidRDefault="00B83B47" w:rsidP="00B83B47">
      <w:pPr>
        <w:tabs>
          <w:tab w:val="left" w:pos="284"/>
        </w:tabs>
        <w:suppressAutoHyphens/>
        <w:rPr>
          <w:sz w:val="22"/>
          <w:szCs w:val="22"/>
        </w:rPr>
      </w:pPr>
      <w:r w:rsidRPr="00B83B47">
        <w:rPr>
          <w:b/>
          <w:bCs/>
          <w:iCs/>
          <w:sz w:val="22"/>
          <w:szCs w:val="22"/>
        </w:rPr>
        <w:t>Проект рішення:</w:t>
      </w:r>
    </w:p>
    <w:p w14:paraId="0A23D658" w14:textId="77777777" w:rsidR="00B83B47" w:rsidRPr="00B83B47" w:rsidRDefault="00B83B47" w:rsidP="00B83B47">
      <w:pPr>
        <w:pStyle w:val="20"/>
        <w:ind w:left="0"/>
        <w:jc w:val="both"/>
        <w:rPr>
          <w:iCs/>
          <w:sz w:val="22"/>
          <w:szCs w:val="22"/>
          <w:lang w:val="uk-UA" w:eastAsia="uk-UA"/>
        </w:rPr>
      </w:pPr>
      <w:r w:rsidRPr="00B83B47">
        <w:rPr>
          <w:iCs/>
          <w:sz w:val="22"/>
          <w:szCs w:val="22"/>
          <w:lang w:val="uk-UA" w:eastAsia="uk-UA"/>
        </w:rPr>
        <w:t xml:space="preserve">       Обрати робочі органи загальних зборів акціонерів ПРИВАТНОГО АКЦІОНЕРНОГО ТОВАРИСТВА «АКЦІОНЕРНА РАДІОТЕЛЕВІЗІЙНА КОМПАНІЯ «ГЛАС», а саме Голову та секретаря загальних зборів у наступному складі:</w:t>
      </w:r>
    </w:p>
    <w:p w14:paraId="1BE29B9A" w14:textId="77777777" w:rsidR="00B83B47" w:rsidRPr="00B83B47" w:rsidRDefault="00B83B47" w:rsidP="00B83B47">
      <w:pPr>
        <w:pStyle w:val="a7"/>
        <w:rPr>
          <w:rFonts w:ascii="Times New Roman" w:hAnsi="Times New Roman" w:cs="Times New Roman"/>
          <w:iCs/>
          <w:sz w:val="22"/>
          <w:szCs w:val="22"/>
          <w:lang w:val="uk-UA" w:eastAsia="uk-UA"/>
        </w:rPr>
      </w:pPr>
      <w:r w:rsidRPr="00B83B47">
        <w:rPr>
          <w:rFonts w:ascii="Times New Roman" w:hAnsi="Times New Roman" w:cs="Times New Roman"/>
          <w:iCs/>
          <w:sz w:val="22"/>
          <w:szCs w:val="22"/>
          <w:lang w:val="uk-UA" w:eastAsia="uk-UA"/>
        </w:rPr>
        <w:t>Голова зборів – Молдавський Леонід Семенович;</w:t>
      </w:r>
    </w:p>
    <w:p w14:paraId="5F782E2C" w14:textId="77777777" w:rsidR="00B83B47" w:rsidRPr="00B83B47" w:rsidRDefault="00B83B47" w:rsidP="00B83B47">
      <w:pPr>
        <w:pStyle w:val="a7"/>
        <w:rPr>
          <w:rFonts w:ascii="Times New Roman" w:hAnsi="Times New Roman" w:cs="Times New Roman"/>
          <w:iCs/>
          <w:sz w:val="22"/>
          <w:szCs w:val="22"/>
          <w:lang w:val="uk-UA" w:eastAsia="uk-UA"/>
        </w:rPr>
      </w:pPr>
      <w:r w:rsidRPr="00B83B47">
        <w:rPr>
          <w:rFonts w:ascii="Times New Roman" w:hAnsi="Times New Roman" w:cs="Times New Roman"/>
          <w:iCs/>
          <w:sz w:val="22"/>
          <w:szCs w:val="22"/>
          <w:lang w:val="uk-UA" w:eastAsia="uk-UA"/>
        </w:rPr>
        <w:t>Секретар зборів – Жоліна Валентина Вікторівна.</w:t>
      </w:r>
    </w:p>
    <w:p w14:paraId="209035EA" w14:textId="77777777" w:rsidR="00B83B47" w:rsidRPr="00B83B47" w:rsidRDefault="00B83B47" w:rsidP="00B83B47">
      <w:pPr>
        <w:tabs>
          <w:tab w:val="left" w:pos="0"/>
          <w:tab w:val="left" w:pos="567"/>
        </w:tabs>
        <w:rPr>
          <w:sz w:val="22"/>
          <w:szCs w:val="22"/>
        </w:rPr>
      </w:pPr>
      <w:r w:rsidRPr="00B83B47">
        <w:rPr>
          <w:sz w:val="22"/>
          <w:szCs w:val="22"/>
        </w:rPr>
        <w:t>3.  Затвердження регламенту та порядку голосування  загальних зборів, порядку та способу засвідчення бюлетенів для голосування на загальних зборах.</w:t>
      </w:r>
    </w:p>
    <w:p w14:paraId="57710303"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b/>
          <w:bCs/>
          <w:iCs/>
          <w:lang w:val="uk-UA"/>
        </w:rPr>
        <w:t>Проект рішення:</w:t>
      </w:r>
    </w:p>
    <w:p w14:paraId="258D5BFD" w14:textId="77777777" w:rsidR="00B83B47" w:rsidRPr="00B83B47" w:rsidRDefault="00B83B47" w:rsidP="00B83B47">
      <w:pPr>
        <w:tabs>
          <w:tab w:val="left" w:pos="0"/>
        </w:tabs>
        <w:ind w:firstLine="12"/>
        <w:rPr>
          <w:iCs/>
          <w:sz w:val="22"/>
          <w:szCs w:val="22"/>
        </w:rPr>
      </w:pPr>
      <w:r w:rsidRPr="00B83B47">
        <w:rPr>
          <w:iCs/>
          <w:sz w:val="22"/>
          <w:szCs w:val="22"/>
        </w:rPr>
        <w:t>Затвердити наступний регламент проведення загальних зборів:</w:t>
      </w:r>
    </w:p>
    <w:p w14:paraId="3B0EC0D8" w14:textId="77777777" w:rsidR="00B83B47" w:rsidRPr="00B83B47" w:rsidRDefault="00B83B47" w:rsidP="00B83B47">
      <w:pPr>
        <w:ind w:firstLine="709"/>
        <w:rPr>
          <w:iCs/>
          <w:sz w:val="22"/>
          <w:szCs w:val="22"/>
        </w:rPr>
      </w:pPr>
      <w:r w:rsidRPr="00B83B47">
        <w:rPr>
          <w:iCs/>
          <w:sz w:val="22"/>
          <w:szCs w:val="22"/>
        </w:rPr>
        <w:t>- доповіді – до 10 хв.</w:t>
      </w:r>
    </w:p>
    <w:p w14:paraId="4008E055" w14:textId="77777777" w:rsidR="00B83B47" w:rsidRPr="00B83B47" w:rsidRDefault="00B83B47" w:rsidP="00B83B47">
      <w:pPr>
        <w:ind w:firstLine="709"/>
        <w:rPr>
          <w:iCs/>
          <w:sz w:val="22"/>
          <w:szCs w:val="22"/>
        </w:rPr>
      </w:pPr>
      <w:r w:rsidRPr="00B83B47">
        <w:rPr>
          <w:iCs/>
          <w:sz w:val="22"/>
          <w:szCs w:val="22"/>
        </w:rPr>
        <w:t xml:space="preserve">- виступи – до 5 хв. </w:t>
      </w:r>
    </w:p>
    <w:p w14:paraId="2F92E9C2" w14:textId="77777777" w:rsidR="00B83B47" w:rsidRPr="00B83B47" w:rsidRDefault="00B83B47" w:rsidP="00B83B47">
      <w:pPr>
        <w:ind w:firstLine="720"/>
        <w:rPr>
          <w:iCs/>
          <w:sz w:val="22"/>
          <w:szCs w:val="22"/>
        </w:rPr>
      </w:pPr>
      <w:r w:rsidRPr="00B83B47">
        <w:rPr>
          <w:iCs/>
          <w:sz w:val="22"/>
          <w:szCs w:val="22"/>
        </w:rPr>
        <w:t xml:space="preserve">Голосування проводити послідовно після розгляду кожного питання включеного до порядку денного загальних зборів. Голосування з питань порядку денного проводиться бюлетенями. </w:t>
      </w:r>
    </w:p>
    <w:p w14:paraId="321E78E4" w14:textId="77777777" w:rsidR="00B83B47" w:rsidRPr="00B83B47" w:rsidRDefault="00B83B47" w:rsidP="00B83B47">
      <w:pPr>
        <w:rPr>
          <w:iCs/>
          <w:sz w:val="22"/>
          <w:szCs w:val="22"/>
        </w:rPr>
      </w:pPr>
      <w:r w:rsidRPr="00B83B47">
        <w:rPr>
          <w:iCs/>
          <w:sz w:val="22"/>
          <w:szCs w:val="22"/>
        </w:rPr>
        <w:t xml:space="preserve">         Одна голосуюча акція надає акціонеру один голос для вирішення кожного з переліку питань, що виносяться на голосування. </w:t>
      </w:r>
    </w:p>
    <w:p w14:paraId="56108C42" w14:textId="77777777" w:rsidR="00B83B47" w:rsidRPr="00B83B47" w:rsidRDefault="00B83B47" w:rsidP="00B83B47">
      <w:pPr>
        <w:rPr>
          <w:iCs/>
          <w:sz w:val="22"/>
          <w:szCs w:val="22"/>
        </w:rPr>
      </w:pPr>
      <w:r w:rsidRPr="00B83B47">
        <w:rPr>
          <w:iCs/>
          <w:sz w:val="22"/>
          <w:szCs w:val="22"/>
        </w:rPr>
        <w:t xml:space="preserve">         Для прискорення ходу зборів дозволяється розглядати наступне питання порядку денного без оголошення результатів попереднього, окрім пов’язаних питань. </w:t>
      </w:r>
    </w:p>
    <w:p w14:paraId="53E19A1D" w14:textId="77777777" w:rsidR="00B83B47" w:rsidRPr="00B83B47" w:rsidRDefault="00B83B47" w:rsidP="00B83B47">
      <w:pPr>
        <w:rPr>
          <w:iCs/>
          <w:sz w:val="22"/>
          <w:szCs w:val="22"/>
        </w:rPr>
      </w:pPr>
      <w:r w:rsidRPr="00B83B47">
        <w:rPr>
          <w:iCs/>
          <w:sz w:val="22"/>
          <w:szCs w:val="22"/>
        </w:rPr>
        <w:t xml:space="preserve">         Ніхто з учасників зборів не може виступити без згоди голови зборів. Голова зборів може перервати виступаючого, якщо час його виступ перевищує затверджений регламент.       </w:t>
      </w:r>
    </w:p>
    <w:p w14:paraId="10E23815" w14:textId="77777777" w:rsidR="00B83B47" w:rsidRPr="00B83B47" w:rsidRDefault="00B83B47" w:rsidP="00B83B47">
      <w:pPr>
        <w:rPr>
          <w:iCs/>
          <w:sz w:val="22"/>
          <w:szCs w:val="22"/>
        </w:rPr>
      </w:pPr>
      <w:r w:rsidRPr="00B83B47">
        <w:rPr>
          <w:iCs/>
          <w:sz w:val="22"/>
          <w:szCs w:val="22"/>
        </w:rPr>
        <w:t xml:space="preserve">         Будь-який акціонер може взяти участь у виступах, зауваженнях, уточненнях тільки з того питання, яке обговорюється. </w:t>
      </w:r>
    </w:p>
    <w:p w14:paraId="518E4689" w14:textId="77777777" w:rsidR="00B83B47" w:rsidRPr="00B83B47" w:rsidRDefault="00B83B47" w:rsidP="00B83B47">
      <w:pPr>
        <w:tabs>
          <w:tab w:val="left" w:pos="0"/>
        </w:tabs>
        <w:rPr>
          <w:iCs/>
          <w:sz w:val="22"/>
          <w:szCs w:val="22"/>
        </w:rPr>
      </w:pPr>
      <w:r w:rsidRPr="00B83B47">
        <w:rPr>
          <w:iCs/>
          <w:sz w:val="22"/>
          <w:szCs w:val="22"/>
        </w:rPr>
        <w:t xml:space="preserve">         Хід загальних зборів або розгляд окремого питання за рішенням ініціаторів загальних зборів чи самих зборів може фіксуватися технічними засобами, відповідні записи яких додаються до протоколу загальних зборів.</w:t>
      </w:r>
    </w:p>
    <w:p w14:paraId="5A34C57E" w14:textId="77777777" w:rsidR="00B83B47" w:rsidRPr="00B83B47" w:rsidRDefault="00B83B47" w:rsidP="00B83B47">
      <w:pPr>
        <w:pStyle w:val="a6"/>
        <w:ind w:firstLine="426"/>
        <w:jc w:val="both"/>
        <w:rPr>
          <w:iCs/>
          <w:sz w:val="22"/>
          <w:szCs w:val="22"/>
          <w:lang w:eastAsia="ru-RU"/>
        </w:rPr>
      </w:pPr>
      <w:r w:rsidRPr="00B83B47">
        <w:rPr>
          <w:rFonts w:eastAsiaTheme="minorHAnsi"/>
          <w:sz w:val="22"/>
          <w:szCs w:val="22"/>
          <w:lang w:val="uk-UA" w:eastAsia="en-US"/>
        </w:rPr>
        <w:t>Бюлетені для голосування, в тому числі бюлетені для кумулятивного голосування, видані акціонеру (представнику акціонера) за результатами проведеної реєстрації, засвідчуються підписом Голови Реєстраційної кoмiciї та відбитком печатки Товариства. Відбитком печатки засвідчується кожен аркуш бюлетеня для голосування. Бюлетень повинен бути засвідчений акціонером (представником акціонера) із зазначенням прізвища, імені та по батькові акціонера (представника акціонера) або найменування юридичної особи у разі, якщо вона є акціонером. У разі, якщо бюлетень для голосування складається з кількох аркушів, сторінки бюлетеня нумеруються. При цьому кожен аркуш підписується акціонером. У разі відсутності таких реквізитів і підпису бюлетень вважається недійсним. Бюлетень для голосування визнається недійсним у разі, якщо він відрізняється від офіційно виготовленого Товариством зразка</w:t>
      </w:r>
      <w:r w:rsidRPr="00B83B47">
        <w:rPr>
          <w:iCs/>
          <w:sz w:val="22"/>
          <w:szCs w:val="22"/>
          <w:lang w:eastAsia="ru-RU"/>
        </w:rPr>
        <w:t>.</w:t>
      </w:r>
    </w:p>
    <w:p w14:paraId="358956CE" w14:textId="77777777" w:rsidR="00B83B47" w:rsidRPr="00B83B47" w:rsidRDefault="00B83B47" w:rsidP="00B83B47">
      <w:pPr>
        <w:pStyle w:val="a5"/>
        <w:tabs>
          <w:tab w:val="left" w:pos="284"/>
        </w:tabs>
        <w:spacing w:after="0" w:line="240" w:lineRule="auto"/>
        <w:ind w:left="0"/>
        <w:jc w:val="both"/>
        <w:rPr>
          <w:rFonts w:ascii="Times New Roman" w:hAnsi="Times New Roman"/>
          <w:lang w:val="uk-UA"/>
        </w:rPr>
      </w:pPr>
      <w:r w:rsidRPr="00B83B47">
        <w:rPr>
          <w:rFonts w:ascii="Times New Roman" w:hAnsi="Times New Roman"/>
          <w:lang w:val="uk-UA"/>
        </w:rPr>
        <w:t>4. Розгляд звіту Дирекції Товариства за 2020 рік. Прийняття рішення за наслідками розгляду; затвердження заходів за результатами такого розгляду.</w:t>
      </w:r>
    </w:p>
    <w:p w14:paraId="70D3E31E"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b/>
          <w:bCs/>
          <w:iCs/>
          <w:lang w:val="uk-UA"/>
        </w:rPr>
        <w:t>Проект рішення:</w:t>
      </w:r>
    </w:p>
    <w:p w14:paraId="0BBCDE47" w14:textId="77777777" w:rsidR="00B83B47" w:rsidRPr="00B83B47" w:rsidRDefault="00B83B47" w:rsidP="00B83B47">
      <w:pPr>
        <w:pStyle w:val="a5"/>
        <w:tabs>
          <w:tab w:val="left" w:pos="0"/>
        </w:tabs>
        <w:spacing w:after="0" w:line="240" w:lineRule="auto"/>
        <w:ind w:left="0"/>
        <w:jc w:val="both"/>
        <w:rPr>
          <w:rFonts w:ascii="Times New Roman" w:hAnsi="Times New Roman"/>
          <w:iCs/>
          <w:lang w:val="uk-UA"/>
        </w:rPr>
      </w:pPr>
      <w:r w:rsidRPr="00B83B47">
        <w:rPr>
          <w:rFonts w:ascii="Times New Roman" w:hAnsi="Times New Roman"/>
          <w:iCs/>
          <w:lang w:val="uk-UA"/>
        </w:rPr>
        <w:t xml:space="preserve">Затвердити звіт Дирекції Товариства  за </w:t>
      </w:r>
      <w:r w:rsidRPr="00B83B47">
        <w:rPr>
          <w:rFonts w:ascii="Times New Roman" w:hAnsi="Times New Roman"/>
          <w:lang w:val="uk-UA"/>
        </w:rPr>
        <w:t xml:space="preserve">2020 </w:t>
      </w:r>
      <w:r w:rsidRPr="00B83B47">
        <w:rPr>
          <w:rFonts w:ascii="Times New Roman" w:hAnsi="Times New Roman"/>
          <w:iCs/>
          <w:lang w:val="uk-UA"/>
        </w:rPr>
        <w:t xml:space="preserve">рік. За наслідками розгляду звіту Дирекції за </w:t>
      </w:r>
      <w:r w:rsidRPr="00B83B47">
        <w:rPr>
          <w:rFonts w:ascii="Times New Roman" w:hAnsi="Times New Roman"/>
          <w:lang w:val="uk-UA"/>
        </w:rPr>
        <w:t xml:space="preserve">2020 </w:t>
      </w:r>
      <w:r w:rsidRPr="00B83B47">
        <w:rPr>
          <w:rFonts w:ascii="Times New Roman" w:hAnsi="Times New Roman"/>
          <w:iCs/>
          <w:lang w:val="uk-UA"/>
        </w:rPr>
        <w:t>рік - роботу Дирекції Товариства  у звітному періоді визнати задовільною. Прийняти рішення за результатами такого розгляду та затвердити основні напрямки діяльності Товариства, перспективи  розвитку та основні заходи на 20</w:t>
      </w:r>
      <w:r w:rsidRPr="00B83B47">
        <w:rPr>
          <w:rFonts w:ascii="Times New Roman" w:hAnsi="Times New Roman"/>
          <w:iCs/>
          <w:lang w:val="en-US"/>
        </w:rPr>
        <w:t>2</w:t>
      </w:r>
      <w:r w:rsidRPr="00B83B47">
        <w:rPr>
          <w:rFonts w:ascii="Times New Roman" w:hAnsi="Times New Roman"/>
          <w:iCs/>
        </w:rPr>
        <w:t>1</w:t>
      </w:r>
      <w:r w:rsidRPr="00B83B47">
        <w:rPr>
          <w:rFonts w:ascii="Times New Roman" w:hAnsi="Times New Roman"/>
          <w:iCs/>
          <w:lang w:val="uk-UA"/>
        </w:rPr>
        <w:t xml:space="preserve"> рік </w:t>
      </w:r>
    </w:p>
    <w:p w14:paraId="67A7FE51" w14:textId="77777777" w:rsidR="00B83B47" w:rsidRPr="00B83B47" w:rsidRDefault="00B83B47" w:rsidP="00B83B47">
      <w:pPr>
        <w:pStyle w:val="a5"/>
        <w:tabs>
          <w:tab w:val="left" w:pos="0"/>
        </w:tabs>
        <w:spacing w:after="0" w:line="240" w:lineRule="auto"/>
        <w:ind w:left="0"/>
        <w:jc w:val="both"/>
        <w:rPr>
          <w:rFonts w:ascii="Times New Roman" w:hAnsi="Times New Roman"/>
          <w:iCs/>
          <w:lang w:val="uk-UA"/>
        </w:rPr>
      </w:pPr>
      <w:r w:rsidRPr="00B83B47">
        <w:rPr>
          <w:rFonts w:ascii="Times New Roman" w:hAnsi="Times New Roman"/>
          <w:lang w:val="uk-UA"/>
        </w:rPr>
        <w:t>5. Розгляд звіту Ревізора Товариства за 2020 рік. Прийняття рішення за наслідками розгляду; затвердження заходів за результатами такого розгляду.</w:t>
      </w:r>
    </w:p>
    <w:p w14:paraId="32D44FEE"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b/>
          <w:bCs/>
          <w:iCs/>
          <w:lang w:val="uk-UA"/>
        </w:rPr>
        <w:t>Проект рішення:</w:t>
      </w:r>
    </w:p>
    <w:p w14:paraId="160B2386" w14:textId="77777777" w:rsidR="00B83B47" w:rsidRPr="00B83B47" w:rsidRDefault="00B83B47" w:rsidP="00B83B47">
      <w:pPr>
        <w:rPr>
          <w:iCs/>
          <w:sz w:val="22"/>
          <w:szCs w:val="22"/>
        </w:rPr>
      </w:pPr>
      <w:r w:rsidRPr="00B83B47">
        <w:rPr>
          <w:iCs/>
          <w:sz w:val="22"/>
          <w:szCs w:val="22"/>
        </w:rPr>
        <w:t>Затвердити звіт та висновки Ревізора Товариства за 2020 року. За наслідками розгляду звіту та висновків Ревізора за 2020 рік - роботу Ревізора Товариства у звітному періоді визнати задовільною. Прийняти рішення за результатами такого розгляду та затвердити основні заходи діяльності Ревізора на 2021 рік.</w:t>
      </w:r>
    </w:p>
    <w:p w14:paraId="445E78C9" w14:textId="77777777" w:rsidR="00B83B47" w:rsidRPr="00B83B47" w:rsidRDefault="00B83B47" w:rsidP="00B83B47">
      <w:pPr>
        <w:pStyle w:val="a5"/>
        <w:tabs>
          <w:tab w:val="left" w:pos="0"/>
        </w:tabs>
        <w:spacing w:after="0" w:line="240" w:lineRule="auto"/>
        <w:ind w:left="0"/>
        <w:jc w:val="both"/>
        <w:rPr>
          <w:rFonts w:ascii="Times New Roman" w:eastAsiaTheme="minorHAnsi" w:hAnsi="Times New Roman"/>
          <w:iCs/>
          <w:lang w:val="uk-UA"/>
        </w:rPr>
      </w:pPr>
      <w:r w:rsidRPr="00B83B47">
        <w:rPr>
          <w:rFonts w:ascii="Times New Roman" w:eastAsiaTheme="minorHAnsi" w:hAnsi="Times New Roman"/>
          <w:iCs/>
          <w:lang w:val="uk-UA"/>
        </w:rPr>
        <w:t>6. Затвердження річного звіту Товариства за 2020 рік.</w:t>
      </w:r>
    </w:p>
    <w:p w14:paraId="774C9E31"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b/>
          <w:bCs/>
          <w:iCs/>
          <w:lang w:val="uk-UA"/>
        </w:rPr>
        <w:t>Проект рішення:</w:t>
      </w:r>
    </w:p>
    <w:p w14:paraId="515DC293" w14:textId="77777777" w:rsidR="00B83B47" w:rsidRPr="00B83B47" w:rsidRDefault="00B83B47" w:rsidP="00B83B47">
      <w:pPr>
        <w:pStyle w:val="a5"/>
        <w:tabs>
          <w:tab w:val="left" w:pos="0"/>
        </w:tabs>
        <w:spacing w:after="0" w:line="240" w:lineRule="auto"/>
        <w:ind w:left="0"/>
        <w:jc w:val="both"/>
        <w:rPr>
          <w:rFonts w:ascii="Times New Roman" w:hAnsi="Times New Roman"/>
          <w:iCs/>
          <w:lang w:val="uk-UA"/>
        </w:rPr>
      </w:pPr>
      <w:r w:rsidRPr="00B83B47">
        <w:rPr>
          <w:rFonts w:ascii="Times New Roman" w:hAnsi="Times New Roman"/>
          <w:iCs/>
          <w:lang w:val="uk-UA"/>
        </w:rPr>
        <w:t xml:space="preserve">Затвердити річний звіт Товариства  за </w:t>
      </w:r>
      <w:r w:rsidRPr="00B83B47">
        <w:rPr>
          <w:rFonts w:ascii="Times New Roman" w:hAnsi="Times New Roman"/>
          <w:lang w:val="uk-UA"/>
        </w:rPr>
        <w:t xml:space="preserve">2020 </w:t>
      </w:r>
      <w:r w:rsidRPr="00B83B47">
        <w:rPr>
          <w:rFonts w:ascii="Times New Roman" w:hAnsi="Times New Roman"/>
          <w:iCs/>
          <w:lang w:val="uk-UA"/>
        </w:rPr>
        <w:t>рік.</w:t>
      </w:r>
    </w:p>
    <w:p w14:paraId="14FE5626" w14:textId="77777777" w:rsidR="00B83B47" w:rsidRPr="00B83B47" w:rsidRDefault="00B83B47" w:rsidP="00B83B47">
      <w:pPr>
        <w:pStyle w:val="a3"/>
        <w:rPr>
          <w:rFonts w:ascii="Times New Roman" w:hAnsi="Times New Roman"/>
          <w:lang w:val="uk-UA" w:eastAsia="ru-RU"/>
        </w:rPr>
      </w:pPr>
      <w:r w:rsidRPr="00B83B47">
        <w:rPr>
          <w:rFonts w:ascii="Times New Roman" w:hAnsi="Times New Roman"/>
          <w:lang w:val="uk-UA" w:eastAsia="ru-RU"/>
        </w:rPr>
        <w:t>7. Розподіл прибутку, прийняття рішення про виплату дивідендів та їх розмір з урахуванням вимог законодавства України.</w:t>
      </w:r>
    </w:p>
    <w:p w14:paraId="7C3BB3FC"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b/>
          <w:bCs/>
          <w:iCs/>
          <w:lang w:val="uk-UA"/>
        </w:rPr>
        <w:lastRenderedPageBreak/>
        <w:t>Проект рішення:</w:t>
      </w:r>
    </w:p>
    <w:p w14:paraId="1974D5FE" w14:textId="7DC5FA04" w:rsidR="00B83B47" w:rsidRPr="00B83B47" w:rsidRDefault="00B83B47" w:rsidP="00B83B47">
      <w:pPr>
        <w:pStyle w:val="a3"/>
        <w:rPr>
          <w:rFonts w:ascii="Times New Roman" w:hAnsi="Times New Roman"/>
          <w:lang w:val="uk-UA" w:eastAsia="ru-RU"/>
        </w:rPr>
      </w:pPr>
      <w:r w:rsidRPr="00B83B47">
        <w:rPr>
          <w:rFonts w:ascii="Times New Roman" w:hAnsi="Times New Roman"/>
          <w:lang w:val="uk-UA" w:eastAsia="ru-RU"/>
        </w:rPr>
        <w:t xml:space="preserve">Дивіденди акціонерам за результатами 2020 року не виплачувати. Збиток Товариства отриманий за підсумками господарської діяльності у 2019 році, у розмірі 42 </w:t>
      </w:r>
      <w:bookmarkStart w:id="0" w:name="_GoBack"/>
      <w:bookmarkEnd w:id="0"/>
      <w:r w:rsidRPr="00B83B47">
        <w:rPr>
          <w:rFonts w:ascii="Times New Roman" w:hAnsi="Times New Roman"/>
          <w:lang w:val="uk-UA" w:eastAsia="ru-RU"/>
        </w:rPr>
        <w:t>тис.грн. покрити за рахунок прибутку, отриманого за підсумками господарської діяльності у майбутньому.</w:t>
      </w:r>
    </w:p>
    <w:p w14:paraId="32422619" w14:textId="77777777" w:rsidR="00B83B47" w:rsidRPr="00B83B47" w:rsidRDefault="00B83B47" w:rsidP="00B83B47">
      <w:pPr>
        <w:widowControl w:val="0"/>
        <w:shd w:val="clear" w:color="auto" w:fill="FFFFFF"/>
        <w:tabs>
          <w:tab w:val="left" w:pos="480"/>
        </w:tabs>
        <w:autoSpaceDE w:val="0"/>
        <w:autoSpaceDN w:val="0"/>
        <w:adjustRightInd w:val="0"/>
        <w:rPr>
          <w:sz w:val="22"/>
          <w:szCs w:val="22"/>
        </w:rPr>
      </w:pPr>
      <w:r w:rsidRPr="00B83B47">
        <w:rPr>
          <w:sz w:val="22"/>
          <w:szCs w:val="22"/>
        </w:rPr>
        <w:t xml:space="preserve">8. Припинення повноважень Дирекції: Генерального директора Євдокимової Олени Геннадіївни,  комерційного директора – Євдокимова Руслана Вікторовича і програмного директора  – Щербацької Діани Миколаївни та обрання нового складу Дирекції Товариства. </w:t>
      </w:r>
    </w:p>
    <w:p w14:paraId="2EBC6918"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b/>
          <w:bCs/>
          <w:iCs/>
          <w:lang w:val="uk-UA"/>
        </w:rPr>
        <w:t>Проект рішення:</w:t>
      </w:r>
    </w:p>
    <w:p w14:paraId="0D1899A9"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rPr>
        <w:t>Припинити повноваження Дирекції Товариства.</w:t>
      </w:r>
    </w:p>
    <w:p w14:paraId="03CB9701" w14:textId="77777777" w:rsidR="00B83B47" w:rsidRPr="00B83B47" w:rsidRDefault="00B83B47" w:rsidP="00B83B47">
      <w:pPr>
        <w:pStyle w:val="a5"/>
        <w:tabs>
          <w:tab w:val="left" w:pos="0"/>
        </w:tabs>
        <w:spacing w:after="0" w:line="240" w:lineRule="auto"/>
        <w:ind w:left="0"/>
        <w:jc w:val="both"/>
        <w:rPr>
          <w:rFonts w:ascii="Times New Roman" w:eastAsiaTheme="minorHAnsi" w:hAnsi="Times New Roman"/>
          <w:lang w:val="uk-UA"/>
        </w:rPr>
      </w:pPr>
      <w:r w:rsidRPr="00B83B47">
        <w:rPr>
          <w:rFonts w:ascii="Times New Roman" w:eastAsiaTheme="minorHAnsi" w:hAnsi="Times New Roman"/>
          <w:lang w:val="uk-UA"/>
        </w:rPr>
        <w:t>Проект рішення з питань обрання нового складу Дирекції не надається згідно п. 5 ч.3 ст.35 ЗУ «Про акціонерні товариства».</w:t>
      </w:r>
    </w:p>
    <w:p w14:paraId="346CB417" w14:textId="77777777" w:rsidR="00B83B47" w:rsidRPr="00B83B47" w:rsidRDefault="00B83B47" w:rsidP="00B83B47">
      <w:pPr>
        <w:tabs>
          <w:tab w:val="left" w:pos="0"/>
          <w:tab w:val="left" w:pos="567"/>
        </w:tabs>
        <w:rPr>
          <w:sz w:val="22"/>
          <w:szCs w:val="22"/>
        </w:rPr>
      </w:pPr>
      <w:r w:rsidRPr="00B83B47">
        <w:rPr>
          <w:sz w:val="22"/>
          <w:szCs w:val="22"/>
        </w:rPr>
        <w:t>9.  Затвердження  умов трудових (цивільно-правових) договорів, що укладатимуться з Дирекцією Товариства, встановлення розміру їх винагороди.</w:t>
      </w:r>
    </w:p>
    <w:p w14:paraId="4945AF12"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b/>
          <w:bCs/>
          <w:iCs/>
          <w:lang w:val="uk-UA"/>
        </w:rPr>
        <w:t>Проект рішення:</w:t>
      </w:r>
    </w:p>
    <w:p w14:paraId="115A21C7" w14:textId="77777777" w:rsidR="00B83B47" w:rsidRPr="00B83B47" w:rsidRDefault="00B83B47" w:rsidP="00B83B47">
      <w:pPr>
        <w:tabs>
          <w:tab w:val="left" w:pos="0"/>
          <w:tab w:val="left" w:pos="567"/>
        </w:tabs>
        <w:rPr>
          <w:sz w:val="22"/>
          <w:szCs w:val="22"/>
        </w:rPr>
      </w:pPr>
      <w:r w:rsidRPr="00B83B47">
        <w:rPr>
          <w:sz w:val="22"/>
          <w:szCs w:val="22"/>
        </w:rPr>
        <w:t xml:space="preserve">Призначити Генерального директора Євдокимову Олену Геннадіївну відповідальною особою за затвердження  умов трудових (цивільно-правових) договорів,  що укладатимуться з Дирекцією, встановлення розміру їх винагороди, а також призначити </w:t>
      </w:r>
      <w:r w:rsidRPr="00B83B47">
        <w:rPr>
          <w:rFonts w:eastAsia="Calibri"/>
          <w:sz w:val="22"/>
          <w:szCs w:val="22"/>
        </w:rPr>
        <w:t xml:space="preserve">Генерального директора </w:t>
      </w:r>
      <w:r w:rsidRPr="00B83B47">
        <w:rPr>
          <w:sz w:val="22"/>
          <w:szCs w:val="22"/>
        </w:rPr>
        <w:t>особою,  яка уповноважується на підписання договору з Дирекцією.</w:t>
      </w:r>
    </w:p>
    <w:p w14:paraId="49CE99C5" w14:textId="77777777" w:rsidR="00B83B47" w:rsidRPr="00B83B47" w:rsidRDefault="00B83B47" w:rsidP="00B83B47">
      <w:pPr>
        <w:tabs>
          <w:tab w:val="left" w:pos="0"/>
          <w:tab w:val="left" w:pos="567"/>
        </w:tabs>
        <w:rPr>
          <w:sz w:val="22"/>
          <w:szCs w:val="22"/>
        </w:rPr>
      </w:pPr>
      <w:r w:rsidRPr="00B83B47">
        <w:rPr>
          <w:sz w:val="22"/>
          <w:szCs w:val="22"/>
        </w:rPr>
        <w:t>10. Припинення повноважень Ревізора Товариства Жоліної Валентини Вікторівни та обрання нового Ревізора.</w:t>
      </w:r>
    </w:p>
    <w:p w14:paraId="15EE098A"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b/>
          <w:bCs/>
          <w:iCs/>
          <w:lang w:val="uk-UA"/>
        </w:rPr>
        <w:t>Проект рішення:</w:t>
      </w:r>
    </w:p>
    <w:p w14:paraId="67F0A6FB"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rPr>
        <w:t xml:space="preserve">Припинити повноваження </w:t>
      </w:r>
      <w:r w:rsidRPr="00B83B47">
        <w:rPr>
          <w:rFonts w:ascii="Times New Roman" w:hAnsi="Times New Roman"/>
          <w:lang w:val="uk-UA"/>
        </w:rPr>
        <w:t>Ревізора</w:t>
      </w:r>
      <w:r w:rsidRPr="00B83B47">
        <w:rPr>
          <w:rFonts w:ascii="Times New Roman" w:hAnsi="Times New Roman"/>
        </w:rPr>
        <w:t xml:space="preserve"> Товариства.</w:t>
      </w:r>
    </w:p>
    <w:p w14:paraId="1642DFB3" w14:textId="77777777" w:rsidR="00B83B47" w:rsidRPr="00B83B47" w:rsidRDefault="00B83B47" w:rsidP="00B83B47">
      <w:pPr>
        <w:pStyle w:val="a5"/>
        <w:tabs>
          <w:tab w:val="left" w:pos="0"/>
        </w:tabs>
        <w:spacing w:after="0" w:line="240" w:lineRule="auto"/>
        <w:ind w:left="0"/>
        <w:jc w:val="both"/>
        <w:rPr>
          <w:rFonts w:ascii="Times New Roman" w:eastAsiaTheme="minorHAnsi" w:hAnsi="Times New Roman"/>
          <w:lang w:val="uk-UA"/>
        </w:rPr>
      </w:pPr>
      <w:r w:rsidRPr="00B83B47">
        <w:rPr>
          <w:rFonts w:ascii="Times New Roman" w:eastAsiaTheme="minorHAnsi" w:hAnsi="Times New Roman"/>
          <w:lang w:val="uk-UA"/>
        </w:rPr>
        <w:t>Проект рішення з питань обрання нового Ревізора не надається згідно п. 5 ч.3 ст.35 ЗУ «Про акціонерні товариства».</w:t>
      </w:r>
    </w:p>
    <w:p w14:paraId="1E8C9AD0" w14:textId="77777777" w:rsidR="00B83B47" w:rsidRPr="00B83B47" w:rsidRDefault="00B83B47" w:rsidP="00B83B47">
      <w:pPr>
        <w:tabs>
          <w:tab w:val="left" w:pos="0"/>
          <w:tab w:val="left" w:pos="567"/>
        </w:tabs>
        <w:rPr>
          <w:sz w:val="22"/>
          <w:szCs w:val="22"/>
        </w:rPr>
      </w:pPr>
      <w:r w:rsidRPr="00B83B47">
        <w:rPr>
          <w:sz w:val="22"/>
          <w:szCs w:val="22"/>
        </w:rPr>
        <w:t>11.  Затвердження  умов трудових (цивільно-правових) договорів, що укладатимуться з Ревізором, встановлення розміру його винагороди.</w:t>
      </w:r>
    </w:p>
    <w:p w14:paraId="131BEDAA" w14:textId="77777777" w:rsidR="00B83B47" w:rsidRPr="00B83B47" w:rsidRDefault="00B83B47" w:rsidP="00B83B47">
      <w:pPr>
        <w:pStyle w:val="a5"/>
        <w:tabs>
          <w:tab w:val="left" w:pos="284"/>
        </w:tabs>
        <w:spacing w:after="0" w:line="240" w:lineRule="auto"/>
        <w:ind w:left="0"/>
        <w:jc w:val="both"/>
        <w:rPr>
          <w:rFonts w:ascii="Times New Roman" w:hAnsi="Times New Roman"/>
          <w:b/>
          <w:bCs/>
          <w:iCs/>
          <w:lang w:val="uk-UA"/>
        </w:rPr>
      </w:pPr>
      <w:r w:rsidRPr="00B83B47">
        <w:rPr>
          <w:rFonts w:ascii="Times New Roman" w:hAnsi="Times New Roman"/>
          <w:b/>
          <w:bCs/>
          <w:iCs/>
          <w:lang w:val="uk-UA"/>
        </w:rPr>
        <w:t>Проект рішення:</w:t>
      </w:r>
    </w:p>
    <w:p w14:paraId="31794CE7" w14:textId="77777777" w:rsidR="00B83B47" w:rsidRPr="00B83B47" w:rsidRDefault="00B83B47" w:rsidP="00B83B47">
      <w:pPr>
        <w:tabs>
          <w:tab w:val="left" w:pos="0"/>
          <w:tab w:val="left" w:pos="567"/>
        </w:tabs>
        <w:rPr>
          <w:sz w:val="22"/>
          <w:szCs w:val="22"/>
        </w:rPr>
      </w:pPr>
    </w:p>
    <w:p w14:paraId="59DDF72A" w14:textId="680CBF18" w:rsidR="001B612D" w:rsidRPr="00B83B47" w:rsidRDefault="001B612D" w:rsidP="00B83B47">
      <w:pPr>
        <w:tabs>
          <w:tab w:val="left" w:pos="0"/>
          <w:tab w:val="left" w:pos="567"/>
        </w:tabs>
        <w:rPr>
          <w:sz w:val="22"/>
          <w:szCs w:val="22"/>
        </w:rPr>
      </w:pPr>
    </w:p>
    <w:sectPr w:rsidR="001B612D" w:rsidRPr="00B83B47" w:rsidSect="00F35BC9">
      <w:pgSz w:w="11906" w:h="16838"/>
      <w:pgMar w:top="993" w:right="567" w:bottom="39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85"/>
    <w:rsid w:val="0008629C"/>
    <w:rsid w:val="000E2485"/>
    <w:rsid w:val="001B612D"/>
    <w:rsid w:val="001B6FBA"/>
    <w:rsid w:val="002F64F1"/>
    <w:rsid w:val="00436313"/>
    <w:rsid w:val="00506EB2"/>
    <w:rsid w:val="00705315"/>
    <w:rsid w:val="009004AC"/>
    <w:rsid w:val="00B83B47"/>
    <w:rsid w:val="00C61AD8"/>
    <w:rsid w:val="00C760F9"/>
    <w:rsid w:val="00D34847"/>
    <w:rsid w:val="00F3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5B7C"/>
  <w15:docId w15:val="{2DB2E702-A66F-4379-B138-86A4FDA3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4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2485"/>
    <w:pPr>
      <w:spacing w:after="0" w:line="240" w:lineRule="auto"/>
      <w:jc w:val="both"/>
    </w:pPr>
    <w:rPr>
      <w:rFonts w:ascii="Calibri" w:eastAsia="Times New Roman" w:hAnsi="Calibri" w:cs="Times New Roman"/>
    </w:rPr>
  </w:style>
  <w:style w:type="paragraph" w:styleId="a4">
    <w:name w:val="Normal (Web)"/>
    <w:basedOn w:val="a"/>
    <w:rsid w:val="000E2485"/>
    <w:pPr>
      <w:spacing w:before="100" w:beforeAutospacing="1" w:after="100" w:afterAutospacing="1"/>
    </w:pPr>
    <w:rPr>
      <w:lang w:val="ru-RU"/>
    </w:rPr>
  </w:style>
  <w:style w:type="paragraph" w:styleId="a5">
    <w:name w:val="List Paragraph"/>
    <w:basedOn w:val="a"/>
    <w:qFormat/>
    <w:rsid w:val="000E2485"/>
    <w:pPr>
      <w:spacing w:after="200" w:line="276" w:lineRule="auto"/>
      <w:ind w:left="720"/>
      <w:contextualSpacing/>
    </w:pPr>
    <w:rPr>
      <w:rFonts w:ascii="Calibri" w:eastAsia="Calibri" w:hAnsi="Calibri"/>
      <w:sz w:val="22"/>
      <w:szCs w:val="22"/>
      <w:lang w:val="ru-RU" w:eastAsia="en-US"/>
    </w:rPr>
  </w:style>
  <w:style w:type="paragraph" w:customStyle="1" w:styleId="a6">
    <w:name w:val="Об"/>
    <w:uiPriority w:val="99"/>
    <w:rsid w:val="000E2485"/>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
    <w:name w:val="Обычный2"/>
    <w:uiPriority w:val="99"/>
    <w:rsid w:val="000E2485"/>
    <w:pPr>
      <w:spacing w:after="0" w:line="240" w:lineRule="auto"/>
    </w:pPr>
    <w:rPr>
      <w:rFonts w:ascii="Times New Roman" w:eastAsia="Times New Roman" w:hAnsi="Times New Roman" w:cs="Times New Roman"/>
      <w:sz w:val="24"/>
      <w:szCs w:val="20"/>
      <w:lang w:eastAsia="ru-RU"/>
    </w:rPr>
  </w:style>
  <w:style w:type="paragraph" w:styleId="a7">
    <w:name w:val="Plain Text"/>
    <w:basedOn w:val="a"/>
    <w:link w:val="a8"/>
    <w:uiPriority w:val="99"/>
    <w:rsid w:val="00C61AD8"/>
    <w:rPr>
      <w:rFonts w:ascii="Courier New" w:hAnsi="Courier New" w:cs="Courier New"/>
      <w:sz w:val="20"/>
      <w:szCs w:val="20"/>
      <w:lang w:val="ru-RU"/>
    </w:rPr>
  </w:style>
  <w:style w:type="character" w:customStyle="1" w:styleId="a8">
    <w:name w:val="Текст Знак"/>
    <w:basedOn w:val="a0"/>
    <w:link w:val="a7"/>
    <w:uiPriority w:val="99"/>
    <w:rsid w:val="00C61AD8"/>
    <w:rPr>
      <w:rFonts w:ascii="Courier New" w:eastAsia="Times New Roman" w:hAnsi="Courier New" w:cs="Courier New"/>
      <w:sz w:val="20"/>
      <w:szCs w:val="20"/>
      <w:lang w:eastAsia="ru-RU"/>
    </w:rPr>
  </w:style>
  <w:style w:type="paragraph" w:customStyle="1" w:styleId="1">
    <w:name w:val="Абзац списка1"/>
    <w:basedOn w:val="a"/>
    <w:uiPriority w:val="99"/>
    <w:rsid w:val="00F366F0"/>
    <w:pPr>
      <w:ind w:left="720"/>
    </w:pPr>
    <w:rPr>
      <w:sz w:val="20"/>
      <w:szCs w:val="20"/>
      <w:lang w:val="ru-RU"/>
    </w:rPr>
  </w:style>
  <w:style w:type="paragraph" w:customStyle="1" w:styleId="20">
    <w:name w:val="Абзац списка2"/>
    <w:basedOn w:val="a"/>
    <w:uiPriority w:val="99"/>
    <w:rsid w:val="00F366F0"/>
    <w:pPr>
      <w:ind w:left="720"/>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keeper</dc:creator>
  <cp:lastModifiedBy>keeper</cp:lastModifiedBy>
  <cp:revision>4</cp:revision>
  <dcterms:created xsi:type="dcterms:W3CDTF">2021-03-16T13:49:00Z</dcterms:created>
  <dcterms:modified xsi:type="dcterms:W3CDTF">2021-03-16T14:13:00Z</dcterms:modified>
</cp:coreProperties>
</file>